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6403948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32BE6C1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+*xfs*pvs*Akl*cvA*xBj*qkc*uaj*ktB*css*BBc*pBk*-</w:t>
            </w:r>
            <w:r>
              <w:rPr>
                <w:rFonts w:ascii="PDF417x" w:hAnsi="PDF417x"/>
                <w:sz w:val="24"/>
                <w:szCs w:val="24"/>
              </w:rPr>
              <w:br/>
              <w:t>+*yqw*dys*xcE*miC*ugB*dzb*khx*wEe*tDn*pwa*zew*-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+*eDs*lyd*lyd*lyd*lyd*DBb*gcb*gCb*yhx*kpy*zfE*-</w:t>
            </w:r>
            <w:r>
              <w:rPr>
                <w:rFonts w:ascii="PDF417x" w:hAnsi="PDF417x"/>
                <w:sz w:val="24"/>
                <w:szCs w:val="24"/>
              </w:rPr>
              <w:br/>
              <w:t>+*ftw*AlE*oCa*cyy*pvs*jjq*Dnl*oyz*wym*miy*onA*-</w:t>
            </w:r>
            <w:r>
              <w:rPr>
                <w:rFonts w:ascii="PDF417x" w:hAnsi="PDF417x"/>
                <w:sz w:val="24"/>
                <w:szCs w:val="24"/>
              </w:rPr>
              <w:br/>
              <w:t>+*ftA*tba*tDq*yDF*tgC*xvm*tbD*xAl*qyB*jEj*uws*-</w:t>
            </w:r>
            <w:r>
              <w:rPr>
                <w:rFonts w:ascii="PDF417x" w:hAnsi="PDF417x"/>
                <w:sz w:val="24"/>
                <w:szCs w:val="24"/>
              </w:rPr>
              <w:br/>
              <w:t>+*xjq*kxb*aiz*drs*bpA*voy*awz*rcb*nkr*ghw*uzq*-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59725A60" w14:textId="77777777" w:rsidTr="005F330D">
        <w:trPr>
          <w:trHeight w:val="851"/>
        </w:trPr>
        <w:tc>
          <w:tcPr>
            <w:tcW w:w="0" w:type="auto"/>
          </w:tcPr>
          <w:p w14:paraId="38E2375A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3F53D3D7" wp14:editId="0DF2BF77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4D74858A" w14:textId="77777777" w:rsidTr="004F6767">
        <w:trPr>
          <w:trHeight w:val="276"/>
        </w:trPr>
        <w:tc>
          <w:tcPr>
            <w:tcW w:w="0" w:type="auto"/>
          </w:tcPr>
          <w:p w14:paraId="1301F72F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013A4417" w14:textId="77777777" w:rsidTr="004F6767">
        <w:trPr>
          <w:trHeight w:val="291"/>
        </w:trPr>
        <w:tc>
          <w:tcPr>
            <w:tcW w:w="0" w:type="auto"/>
          </w:tcPr>
          <w:p w14:paraId="0A33D335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0DF9E0DB" w14:textId="77777777" w:rsidTr="004F6767">
        <w:trPr>
          <w:trHeight w:val="276"/>
        </w:trPr>
        <w:tc>
          <w:tcPr>
            <w:tcW w:w="0" w:type="auto"/>
          </w:tcPr>
          <w:p w14:paraId="3352E3CC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4FE7CBE0" w14:textId="77777777" w:rsidTr="004F6767">
        <w:trPr>
          <w:trHeight w:val="291"/>
        </w:trPr>
        <w:tc>
          <w:tcPr>
            <w:tcW w:w="0" w:type="auto"/>
          </w:tcPr>
          <w:p w14:paraId="4633E512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0A853AED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43254D0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611-01/25-01/02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09EC8AAE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2140-5-01-25-3</w:t>
      </w:r>
    </w:p>
    <w:p w14:paraId="1B8381E4" w14:textId="090DA762" w:rsidR="00B92D0F" w:rsidRPr="000829AB" w:rsidRDefault="00D364C6" w:rsidP="000829AB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0829A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.03.2025.</w:t>
      </w:r>
    </w:p>
    <w:p w14:paraId="5D026C87" w14:textId="71C8EB23" w:rsidR="000829AB" w:rsidRPr="000829AB" w:rsidRDefault="000829AB" w:rsidP="000829AB">
      <w:pPr>
        <w:contextualSpacing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0829A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PRIJEDLOG</w:t>
      </w:r>
    </w:p>
    <w:p w14:paraId="410A5BD2" w14:textId="77777777" w:rsidR="000829AB" w:rsidRPr="000829AB" w:rsidRDefault="000829AB" w:rsidP="000829AB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45716CE4" w14:textId="44459BD0" w:rsidR="000829AB" w:rsidRPr="000829AB" w:rsidRDefault="000829AB" w:rsidP="000829AB">
      <w:pPr>
        <w:ind w:firstLine="708"/>
        <w:jc w:val="both"/>
        <w:rPr>
          <w:rFonts w:ascii="Times New Roman" w:eastAsia="Times New Roman" w:hAnsi="Times New Roman" w:cs="Times New Roman"/>
          <w:b/>
          <w:bCs/>
          <w:noProof w:val="0"/>
          <w:sz w:val="32"/>
          <w:szCs w:val="32"/>
          <w:lang w:eastAsia="hr-HR"/>
        </w:rPr>
      </w:pPr>
      <w:r w:rsidRPr="000829A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Temeljem članka 32. Statuta Grada Pregrade („Službeni glasnik Krapinsko – zagorske županije“, broj 6/13, 17/13, 16/18-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</w:t>
      </w:r>
      <w:r w:rsidRPr="000829A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pročišćeni tekst, 5/20, 8/21, 38/22 i 40/23),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a </w:t>
      </w:r>
      <w:r w:rsidRPr="000829A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povodom razmatranja Izvje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štaja o radu</w:t>
      </w:r>
      <w:r w:rsidRPr="000829A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i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Izvještaja o </w:t>
      </w:r>
      <w:r w:rsidRPr="000829A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izvršenj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u proračuna Gradske knjižnice Pregrada za</w:t>
      </w:r>
      <w:r w:rsidRPr="000829A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4</w:t>
      </w:r>
      <w:r w:rsidRPr="000829A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godinu, Gradsko vijeće Grada Pregrade na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svojoj</w:t>
      </w:r>
      <w:r w:rsidRPr="000829A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0829A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sjednici održanoj 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27</w:t>
      </w:r>
      <w:r w:rsidRPr="000829A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ožujka</w:t>
      </w:r>
      <w:r w:rsidRPr="000829A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0829A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godine</w:t>
      </w:r>
      <w:r w:rsidR="004E400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,</w:t>
      </w:r>
      <w:r w:rsidRPr="000829A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donijelo je sjedeći</w:t>
      </w:r>
    </w:p>
    <w:p w14:paraId="2B6B4C5C" w14:textId="77777777" w:rsidR="000829AB" w:rsidRPr="000829AB" w:rsidRDefault="000829AB" w:rsidP="000829AB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4E5D1D9E" w14:textId="77777777" w:rsidR="000829AB" w:rsidRPr="000829AB" w:rsidRDefault="000829AB" w:rsidP="000829AB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65461914" w14:textId="77777777" w:rsidR="000829AB" w:rsidRPr="000829AB" w:rsidRDefault="000829AB" w:rsidP="000829AB">
      <w:pPr>
        <w:suppressAutoHyphens/>
        <w:autoSpaceDN w:val="0"/>
        <w:spacing w:line="288" w:lineRule="auto"/>
        <w:jc w:val="center"/>
        <w:textAlignment w:val="baseline"/>
        <w:rPr>
          <w:rFonts w:ascii="Times New Roman" w:eastAsia="SimSun" w:hAnsi="Times New Roman" w:cs="Lucida Sans"/>
          <w:b/>
          <w:bCs/>
          <w:noProof w:val="0"/>
          <w:kern w:val="3"/>
          <w:sz w:val="24"/>
          <w:szCs w:val="24"/>
          <w:lang w:eastAsia="zh-CN" w:bidi="hi-IN"/>
        </w:rPr>
      </w:pPr>
      <w:r w:rsidRPr="000829AB">
        <w:rPr>
          <w:rFonts w:ascii="Times New Roman" w:eastAsia="SimSun" w:hAnsi="Times New Roman" w:cs="Lucida Sans"/>
          <w:b/>
          <w:bCs/>
          <w:noProof w:val="0"/>
          <w:kern w:val="3"/>
          <w:sz w:val="24"/>
          <w:szCs w:val="24"/>
          <w:lang w:eastAsia="zh-CN" w:bidi="hi-IN"/>
        </w:rPr>
        <w:t>Z A K L J U Č A K</w:t>
      </w:r>
    </w:p>
    <w:p w14:paraId="4D3CF692" w14:textId="77777777" w:rsidR="000829AB" w:rsidRPr="000829AB" w:rsidRDefault="000829AB" w:rsidP="000829AB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36CC24DE" w14:textId="77777777" w:rsidR="000829AB" w:rsidRPr="000829AB" w:rsidRDefault="000829AB" w:rsidP="000829AB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50AF2CB8" w14:textId="4D217DF5" w:rsidR="000829AB" w:rsidRPr="000829AB" w:rsidRDefault="000829AB" w:rsidP="000829AB">
      <w:pPr>
        <w:suppressAutoHyphens/>
        <w:autoSpaceDN w:val="0"/>
        <w:spacing w:line="288" w:lineRule="auto"/>
        <w:ind w:firstLine="709"/>
        <w:jc w:val="both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  <w:r w:rsidRPr="000829AB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Usvaja se Izvješ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taj</w:t>
      </w:r>
      <w:r w:rsidRPr="000829AB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 o radu za 202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4</w:t>
      </w:r>
      <w:r w:rsidRPr="000829AB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. godinu i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 Izvještaj o izvršenju proračuna Gradske knjižnice Pregrada</w:t>
      </w:r>
      <w:r w:rsidRPr="000829AB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 za 202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4</w:t>
      </w:r>
      <w:r w:rsidRPr="000829AB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. godinu.</w:t>
      </w:r>
    </w:p>
    <w:p w14:paraId="6B53610A" w14:textId="77777777" w:rsidR="000829AB" w:rsidRPr="000829AB" w:rsidRDefault="000829AB" w:rsidP="000829AB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78BEA06F" w14:textId="77777777" w:rsidR="000829AB" w:rsidRPr="000829AB" w:rsidRDefault="000829AB" w:rsidP="000829AB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441DC06E" w14:textId="77777777" w:rsidR="000829AB" w:rsidRPr="000829AB" w:rsidRDefault="000829AB" w:rsidP="000829AB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446C0A69" w14:textId="77777777" w:rsidR="000829AB" w:rsidRPr="000829AB" w:rsidRDefault="000829AB" w:rsidP="000829AB">
      <w:pPr>
        <w:suppressAutoHyphens/>
        <w:autoSpaceDN w:val="0"/>
        <w:spacing w:line="288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7FD83ECC" w14:textId="77777777" w:rsidR="000829AB" w:rsidRPr="000829AB" w:rsidRDefault="000829AB" w:rsidP="000829AB">
      <w:pPr>
        <w:suppressAutoHyphens/>
        <w:autoSpaceDN w:val="0"/>
        <w:spacing w:line="288" w:lineRule="auto"/>
        <w:jc w:val="right"/>
        <w:textAlignment w:val="baseline"/>
        <w:rPr>
          <w:rFonts w:ascii="Times New Roman" w:eastAsia="SimSun" w:hAnsi="Times New Roman" w:cs="Lucida Sans"/>
          <w:bCs/>
          <w:noProof w:val="0"/>
          <w:kern w:val="3"/>
          <w:sz w:val="24"/>
          <w:szCs w:val="24"/>
          <w:lang w:eastAsia="zh-CN" w:bidi="hi-IN"/>
        </w:rPr>
      </w:pPr>
      <w:r w:rsidRPr="000829AB">
        <w:rPr>
          <w:rFonts w:ascii="Times New Roman" w:eastAsia="SimSun" w:hAnsi="Times New Roman" w:cs="Lucida Sans"/>
          <w:bCs/>
          <w:noProof w:val="0"/>
          <w:kern w:val="3"/>
          <w:sz w:val="24"/>
          <w:szCs w:val="24"/>
          <w:lang w:eastAsia="zh-CN" w:bidi="hi-IN"/>
        </w:rPr>
        <w:t>PREDSJEDNICA</w:t>
      </w:r>
    </w:p>
    <w:p w14:paraId="25EE2474" w14:textId="77777777" w:rsidR="000829AB" w:rsidRPr="000829AB" w:rsidRDefault="000829AB" w:rsidP="000829AB">
      <w:pPr>
        <w:jc w:val="right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  <w:r w:rsidRPr="000829AB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>GRADSKOG VIJEĆA</w:t>
      </w:r>
    </w:p>
    <w:p w14:paraId="3BF931DC" w14:textId="77777777" w:rsidR="000829AB" w:rsidRPr="000829AB" w:rsidRDefault="000829AB" w:rsidP="000829AB">
      <w:pPr>
        <w:jc w:val="right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</w:p>
    <w:p w14:paraId="1C0B3EC6" w14:textId="61FA95D8" w:rsidR="00D707B3" w:rsidRPr="006606A6" w:rsidRDefault="000829AB" w:rsidP="000829AB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829AB"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  <w:t>Vesna Petek</w:t>
      </w:r>
    </w:p>
    <w:p w14:paraId="7673E5ED" w14:textId="77777777" w:rsidR="00D707B3" w:rsidRPr="006606A6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5748B78C" w14:textId="77777777" w:rsidR="00D707B3" w:rsidRPr="006606A6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BB658D8" w14:textId="77777777" w:rsidR="008C5FE5" w:rsidRPr="006606A6" w:rsidRDefault="008C5FE5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5E7DAD5" w14:textId="77777777" w:rsidR="00D707B3" w:rsidRPr="006606A6" w:rsidRDefault="00D707B3" w:rsidP="00D707B3">
      <w:pPr>
        <w:rPr>
          <w:rFonts w:ascii="Calibri" w:eastAsia="Times New Roman" w:hAnsi="Calibri" w:cs="Calibri"/>
          <w:color w:val="000000"/>
          <w:sz w:val="24"/>
          <w:szCs w:val="24"/>
          <w:lang w:eastAsia="hr-HR"/>
        </w:rPr>
      </w:pPr>
    </w:p>
    <w:p w14:paraId="5AC307DA" w14:textId="77777777" w:rsidR="00D707B3" w:rsidRPr="006606A6" w:rsidRDefault="00D707B3" w:rsidP="00D707B3">
      <w:pPr>
        <w:rPr>
          <w:sz w:val="24"/>
          <w:szCs w:val="24"/>
        </w:rPr>
      </w:pPr>
    </w:p>
    <w:p w14:paraId="07111462" w14:textId="77777777" w:rsidR="00D707B3" w:rsidRPr="006606A6" w:rsidRDefault="00D707B3" w:rsidP="00D707B3">
      <w:pPr>
        <w:rPr>
          <w:sz w:val="24"/>
          <w:szCs w:val="24"/>
        </w:rPr>
      </w:pPr>
    </w:p>
    <w:p w14:paraId="0881DE98" w14:textId="77777777" w:rsidR="00D364C6" w:rsidRDefault="00D364C6" w:rsidP="000829AB"/>
    <w:p w14:paraId="79452809" w14:textId="77777777" w:rsidR="00D707B3" w:rsidRDefault="00D707B3" w:rsidP="00D707B3">
      <w:pPr>
        <w:jc w:val="right"/>
      </w:pPr>
    </w:p>
    <w:p w14:paraId="6D1DD1A9" w14:textId="77777777" w:rsidR="00D707B3" w:rsidRDefault="00D707B3" w:rsidP="00D707B3"/>
    <w:p w14:paraId="2C012BEB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43FEA306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AC0F00E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6C5F883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3DBB8F8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34A80256" wp14:editId="2C6E695F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1FA1E7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A802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481FA1E7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1F65D8"/>
    <w:multiLevelType w:val="hybridMultilevel"/>
    <w:tmpl w:val="83FCD028"/>
    <w:lvl w:ilvl="0" w:tplc="FE8CEB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2355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829AB"/>
    <w:rsid w:val="00275B0C"/>
    <w:rsid w:val="002E5C42"/>
    <w:rsid w:val="00347D72"/>
    <w:rsid w:val="003F65C1"/>
    <w:rsid w:val="004E400C"/>
    <w:rsid w:val="004F4C90"/>
    <w:rsid w:val="005F330D"/>
    <w:rsid w:val="006606A6"/>
    <w:rsid w:val="00693AB1"/>
    <w:rsid w:val="008A562A"/>
    <w:rsid w:val="008C5FE5"/>
    <w:rsid w:val="008F7F4B"/>
    <w:rsid w:val="009B7A12"/>
    <w:rsid w:val="00A42D79"/>
    <w:rsid w:val="00A51602"/>
    <w:rsid w:val="00A836D0"/>
    <w:rsid w:val="00AC35DA"/>
    <w:rsid w:val="00B92D0F"/>
    <w:rsid w:val="00C9578C"/>
    <w:rsid w:val="00D364C6"/>
    <w:rsid w:val="00D707B3"/>
    <w:rsid w:val="00E55405"/>
    <w:rsid w:val="00E850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ADBB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2025-03-20T07:46:00Z</cp:lastPrinted>
  <dcterms:created xsi:type="dcterms:W3CDTF">2025-03-20T07:47:00Z</dcterms:created>
  <dcterms:modified xsi:type="dcterms:W3CDTF">2025-03-20T07:47:00Z</dcterms:modified>
</cp:coreProperties>
</file>